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/>
      <w:r>
        <w:rPr>
          <w:b/>
          <w:bCs/>
          <w:strike w:val="0"/>
          <w:highlight w:val="none"/>
        </w:rPr>
        <w:t xml:space="preserve">О внесении изменений в статьи 7 и 10 Закона Новосибирской области </w:t>
      </w:r>
      <w:r>
        <w:rPr>
          <w:b/>
          <w:bCs/>
          <w:strike w:val="0"/>
          <w:highlight w:val="none"/>
        </w:rPr>
        <w:t xml:space="preserve">          «Об охоте и сохранении охотничьих ресурсов на территории Новосибирской области</w:t>
      </w:r>
      <w:r/>
      <w:r/>
      <w:r>
        <w:rPr>
          <w:b/>
          <w:bCs/>
          <w:szCs w:val="28"/>
          <w:highlight w:val="none"/>
        </w:rPr>
        <w:t xml:space="preserve">»</w:t>
      </w:r>
      <w:r>
        <w:rPr>
          <w:bCs/>
          <w:szCs w:val="28"/>
        </w:rPr>
      </w:r>
      <w:r/>
    </w:p>
    <w:p>
      <w:pPr>
        <w:pStyle w:val="832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  <w:t xml:space="preserve"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>
        <w:rPr>
          <w:b w:val="0"/>
          <w:szCs w:val="28"/>
        </w:rPr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17</cp:revision>
  <dcterms:created xsi:type="dcterms:W3CDTF">2021-06-01T03:56:00Z</dcterms:created>
  <dcterms:modified xsi:type="dcterms:W3CDTF">2025-05-05T07:57:12Z</dcterms:modified>
  <cp:version>917504</cp:version>
</cp:coreProperties>
</file>